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674AE0" w14:textId="00EF73C6" w:rsidR="00AB0439" w:rsidRPr="0006709D" w:rsidRDefault="00AB0439" w:rsidP="00AB0439">
      <w:pPr>
        <w:tabs>
          <w:tab w:val="right" w:pos="9900"/>
        </w:tabs>
        <w:jc w:val="both"/>
        <w:rPr>
          <w:rFonts w:ascii="Arial" w:hAnsi="Arial" w:cs="Arial"/>
          <w:b/>
          <w:bCs/>
          <w:szCs w:val="24"/>
        </w:rPr>
      </w:pPr>
      <w:bookmarkStart w:id="0" w:name="_Hlk506110913"/>
      <w:r w:rsidRPr="00FA2B05">
        <w:rPr>
          <w:rFonts w:ascii="Arial" w:hAnsi="Arial" w:cs="Arial"/>
          <w:b/>
          <w:bCs/>
          <w:szCs w:val="24"/>
        </w:rPr>
        <w:t>3GPP TSG RAN WG1 #10</w:t>
      </w:r>
      <w:r>
        <w:rPr>
          <w:rFonts w:ascii="Arial" w:hAnsi="Arial" w:cs="Arial"/>
          <w:b/>
          <w:bCs/>
          <w:szCs w:val="24"/>
        </w:rPr>
        <w:t>4b</w:t>
      </w:r>
      <w:r w:rsidRPr="00FA2B05">
        <w:rPr>
          <w:rFonts w:ascii="Arial" w:hAnsi="Arial" w:cs="Arial"/>
          <w:b/>
          <w:bCs/>
          <w:szCs w:val="24"/>
        </w:rPr>
        <w:t>-e</w:t>
      </w:r>
      <w:r w:rsidRPr="0006709D">
        <w:rPr>
          <w:rFonts w:ascii="Arial" w:hAnsi="Arial" w:cs="Arial"/>
          <w:b/>
          <w:bCs/>
          <w:szCs w:val="24"/>
        </w:rPr>
        <w:t xml:space="preserve"> </w:t>
      </w:r>
      <w:r>
        <w:rPr>
          <w:rFonts w:ascii="Arial" w:hAnsi="Arial" w:cs="Arial"/>
          <w:b/>
          <w:bCs/>
          <w:szCs w:val="24"/>
        </w:rPr>
        <w:tab/>
      </w:r>
      <w:r w:rsidRPr="007109DA">
        <w:rPr>
          <w:rFonts w:ascii="Arial" w:hAnsi="Arial" w:cs="Arial"/>
          <w:b/>
          <w:bCs/>
          <w:szCs w:val="24"/>
        </w:rPr>
        <w:t>R1-2</w:t>
      </w:r>
      <w:r>
        <w:rPr>
          <w:rFonts w:ascii="Arial" w:hAnsi="Arial" w:cs="Arial"/>
          <w:b/>
          <w:bCs/>
          <w:szCs w:val="24"/>
        </w:rPr>
        <w:t>103196</w:t>
      </w:r>
    </w:p>
    <w:p w14:paraId="1CB0341E" w14:textId="77777777" w:rsidR="00AB0439" w:rsidRPr="000F2CD6" w:rsidRDefault="00AB0439" w:rsidP="00AB0439">
      <w:pPr>
        <w:tabs>
          <w:tab w:val="center" w:pos="4536"/>
          <w:tab w:val="right" w:pos="9072"/>
        </w:tabs>
        <w:rPr>
          <w:rFonts w:ascii="Arial" w:hAnsi="Arial" w:cs="Arial"/>
          <w:b/>
          <w:bCs/>
          <w:szCs w:val="18"/>
        </w:rPr>
      </w:pPr>
      <w:r w:rsidRPr="0089012F">
        <w:rPr>
          <w:rFonts w:ascii="Arial" w:hAnsi="Arial" w:cs="Arial"/>
          <w:b/>
          <w:bCs/>
          <w:szCs w:val="18"/>
        </w:rPr>
        <w:t>e-Meeting, April 12th – 20th, 2021</w:t>
      </w:r>
    </w:p>
    <w:bookmarkEnd w:id="0"/>
    <w:p w14:paraId="6B70EDFD" w14:textId="77777777" w:rsidR="0093333E" w:rsidRPr="00DA383B" w:rsidRDefault="0093333E" w:rsidP="0093333E">
      <w:pPr>
        <w:tabs>
          <w:tab w:val="center" w:pos="4536"/>
          <w:tab w:val="right" w:pos="9072"/>
        </w:tabs>
        <w:spacing w:line="276" w:lineRule="auto"/>
        <w:rPr>
          <w:rFonts w:ascii="Arial" w:eastAsia="Malgun Gothic" w:hAnsi="Arial" w:cs="Arial"/>
          <w:b/>
          <w:bCs/>
          <w:szCs w:val="24"/>
          <w:lang w:eastAsia="en-US"/>
        </w:rPr>
      </w:pPr>
    </w:p>
    <w:p w14:paraId="7B8E0028" w14:textId="77777777" w:rsidR="00B530E3" w:rsidRPr="00E34C18" w:rsidRDefault="00B530E3" w:rsidP="00B530E3">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Pr>
          <w:rFonts w:ascii="Arial" w:eastAsia="Malgun Gothic" w:hAnsi="Arial"/>
          <w:lang w:val="en-US" w:eastAsia="ko-KR"/>
        </w:rPr>
        <w:t>7.2.11</w:t>
      </w:r>
    </w:p>
    <w:p w14:paraId="11A8E7A9" w14:textId="77777777" w:rsidR="00B530E3" w:rsidRPr="00E34C18" w:rsidRDefault="00B530E3" w:rsidP="00B530E3">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Qualcomm Incorporated</w:t>
      </w:r>
    </w:p>
    <w:p w14:paraId="17CBEBE1" w14:textId="77777777" w:rsidR="00B530E3" w:rsidRPr="00E34C18" w:rsidRDefault="00B530E3" w:rsidP="00B530E3">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942E48">
        <w:rPr>
          <w:rFonts w:ascii="Arial" w:eastAsia="Malgun Gothic" w:hAnsi="Arial"/>
          <w:lang w:val="en-US" w:eastAsia="en-US"/>
        </w:rPr>
        <w:t>Discussion on NR Rel-16 UE features</w:t>
      </w:r>
    </w:p>
    <w:p w14:paraId="0524D409" w14:textId="77777777" w:rsidR="00B530E3" w:rsidRPr="00B970B4" w:rsidRDefault="00B530E3" w:rsidP="00B530E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hAnsi="Arial"/>
        </w:rPr>
        <w:t>Discussion/Decision</w:t>
      </w:r>
    </w:p>
    <w:p w14:paraId="459C5954" w14:textId="77777777" w:rsidR="002753B9" w:rsidRPr="00E34C18" w:rsidRDefault="002753B9" w:rsidP="0036526E">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0AD1F8D5" w14:textId="7BEBC38C" w:rsidR="0093333E" w:rsidRPr="0093333E" w:rsidRDefault="00970496" w:rsidP="0093333E">
      <w:pPr>
        <w:spacing w:after="120"/>
        <w:jc w:val="both"/>
        <w:rPr>
          <w:rFonts w:eastAsia="Malgun Gothic" w:cs="Batang"/>
          <w:sz w:val="22"/>
          <w:szCs w:val="22"/>
          <w:lang w:val="en-US" w:eastAsia="en-US"/>
        </w:rPr>
      </w:pPr>
      <w:r w:rsidRPr="00B970B4">
        <w:rPr>
          <w:rFonts w:eastAsia="Malgun Gothic" w:cs="Batang"/>
          <w:sz w:val="20"/>
          <w:lang w:val="en-US" w:eastAsia="en-US"/>
        </w:rPr>
        <w:t xml:space="preserve">In this contribution, we discuss and provide proposals on the remaining open issues in the NR Release-16 UE feature list </w:t>
      </w:r>
      <w:r w:rsidRPr="00B970B4">
        <w:rPr>
          <w:rFonts w:eastAsia="Malgun Gothic" w:cs="Batang"/>
          <w:sz w:val="20"/>
          <w:lang w:val="en-US" w:eastAsia="en-US"/>
        </w:rPr>
        <w:fldChar w:fldCharType="begin"/>
      </w:r>
      <w:r w:rsidRPr="00B970B4">
        <w:rPr>
          <w:rFonts w:eastAsia="Malgun Gothic" w:cs="Batang"/>
          <w:sz w:val="20"/>
          <w:lang w:val="en-US" w:eastAsia="en-US"/>
        </w:rPr>
        <w:instrText xml:space="preserve"> REF _Ref47601366 \r \h </w:instrText>
      </w:r>
      <w:r>
        <w:rPr>
          <w:sz w:val="22"/>
          <w:szCs w:val="18"/>
          <w:lang w:val="en-US" w:eastAsia="en-US"/>
        </w:rPr>
        <w:instrText xml:space="preserve"> \* MERGEFORMAT </w:instrText>
      </w:r>
      <w:r w:rsidRPr="00B970B4">
        <w:rPr>
          <w:rFonts w:eastAsia="Malgun Gothic" w:cs="Batang"/>
          <w:sz w:val="20"/>
          <w:lang w:val="en-US" w:eastAsia="en-US"/>
        </w:rPr>
      </w:r>
      <w:r w:rsidRPr="00B970B4">
        <w:rPr>
          <w:rFonts w:eastAsia="Malgun Gothic" w:cs="Batang"/>
          <w:sz w:val="20"/>
          <w:lang w:val="en-US" w:eastAsia="en-US"/>
        </w:rPr>
        <w:fldChar w:fldCharType="separate"/>
      </w:r>
      <w:r w:rsidRPr="00B970B4">
        <w:rPr>
          <w:rFonts w:eastAsia="Malgun Gothic" w:cs="Batang"/>
          <w:sz w:val="20"/>
          <w:lang w:val="en-US" w:eastAsia="en-US"/>
        </w:rPr>
        <w:t>[1]</w:t>
      </w:r>
      <w:r w:rsidRPr="00B970B4">
        <w:rPr>
          <w:rFonts w:eastAsia="Malgun Gothic" w:cs="Batang"/>
          <w:sz w:val="20"/>
          <w:lang w:val="en-US" w:eastAsia="en-US"/>
        </w:rPr>
        <w:fldChar w:fldCharType="end"/>
      </w:r>
      <w:r>
        <w:rPr>
          <w:rFonts w:eastAsia="Malgun Gothic" w:cs="Batang"/>
          <w:sz w:val="20"/>
          <w:lang w:val="en-US" w:eastAsia="en-US"/>
        </w:rPr>
        <w:t xml:space="preserve">. </w:t>
      </w:r>
    </w:p>
    <w:p w14:paraId="04641FDD" w14:textId="1FB9E380" w:rsidR="00970496" w:rsidRDefault="00970496" w:rsidP="00970496">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4" w:name="_Ref47602809"/>
      <w:r w:rsidRPr="00970496">
        <w:rPr>
          <w:rFonts w:ascii="Arial" w:eastAsia="Batang" w:hAnsi="Arial"/>
          <w:sz w:val="32"/>
          <w:szCs w:val="32"/>
          <w:lang w:val="en-US" w:eastAsia="ko-KR"/>
        </w:rPr>
        <w:t>Discussion</w:t>
      </w:r>
      <w:bookmarkEnd w:id="4"/>
    </w:p>
    <w:p w14:paraId="736C0C30" w14:textId="77777777" w:rsidR="00435D50" w:rsidRPr="00435D50" w:rsidRDefault="00435D50" w:rsidP="001833BC">
      <w:pPr>
        <w:pStyle w:val="ListParagraph"/>
        <w:keepNext/>
        <w:numPr>
          <w:ilvl w:val="0"/>
          <w:numId w:val="164"/>
        </w:numPr>
        <w:tabs>
          <w:tab w:val="left" w:pos="0"/>
        </w:tabs>
        <w:spacing w:before="240" w:after="60"/>
        <w:ind w:leftChars="0"/>
        <w:outlineLvl w:val="0"/>
        <w:rPr>
          <w:rFonts w:ascii="Arial" w:hAnsi="Arial"/>
          <w:vanish/>
          <w:kern w:val="28"/>
          <w:szCs w:val="24"/>
          <w:lang w:val="en-US"/>
        </w:rPr>
      </w:pPr>
    </w:p>
    <w:p w14:paraId="4841EC09" w14:textId="77777777" w:rsidR="00435D50" w:rsidRPr="00435D50" w:rsidRDefault="00435D50" w:rsidP="001833BC">
      <w:pPr>
        <w:pStyle w:val="ListParagraph"/>
        <w:keepNext/>
        <w:numPr>
          <w:ilvl w:val="0"/>
          <w:numId w:val="164"/>
        </w:numPr>
        <w:tabs>
          <w:tab w:val="left" w:pos="0"/>
        </w:tabs>
        <w:spacing w:before="240" w:after="60"/>
        <w:ind w:leftChars="0"/>
        <w:outlineLvl w:val="0"/>
        <w:rPr>
          <w:rFonts w:ascii="Arial" w:hAnsi="Arial"/>
          <w:vanish/>
          <w:kern w:val="28"/>
          <w:szCs w:val="24"/>
          <w:lang w:val="en-US"/>
        </w:rPr>
      </w:pPr>
    </w:p>
    <w:p w14:paraId="2D4D86DF" w14:textId="6252492F" w:rsidR="003C7EF2" w:rsidRPr="003A01D4" w:rsidRDefault="003A01D4" w:rsidP="003A01D4">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3A01D4">
        <w:rPr>
          <w:rFonts w:ascii="Arial" w:eastAsia="Batang" w:hAnsi="Arial"/>
          <w:sz w:val="32"/>
          <w:szCs w:val="32"/>
          <w:lang w:val="en-US" w:eastAsia="ko-KR"/>
        </w:rPr>
        <w:t xml:space="preserve">2.1 </w:t>
      </w:r>
      <w:r>
        <w:rPr>
          <w:rFonts w:ascii="Arial" w:eastAsia="Batang" w:hAnsi="Arial"/>
          <w:sz w:val="32"/>
          <w:szCs w:val="32"/>
          <w:lang w:val="en-US" w:eastAsia="ko-KR"/>
        </w:rPr>
        <w:t xml:space="preserve">NR Others: </w:t>
      </w:r>
      <w:r w:rsidRPr="003A01D4">
        <w:rPr>
          <w:rFonts w:ascii="Arial" w:eastAsia="Batang" w:hAnsi="Arial"/>
          <w:sz w:val="32"/>
          <w:szCs w:val="32"/>
          <w:lang w:val="en-US" w:eastAsia="ko-KR"/>
        </w:rPr>
        <w:t>FGs that are not dedicated to a specific Rel-16 work item/TEI</w:t>
      </w:r>
    </w:p>
    <w:p w14:paraId="21F44D14" w14:textId="7560E139" w:rsidR="00623FCB" w:rsidRPr="003A01D4" w:rsidRDefault="003A01D4" w:rsidP="00D053A0">
      <w:pPr>
        <w:jc w:val="both"/>
        <w:rPr>
          <w:rFonts w:eastAsia="Calibri"/>
          <w:szCs w:val="24"/>
          <w:lang w:val="en-US" w:eastAsia="en-US"/>
        </w:rPr>
      </w:pPr>
      <w:r w:rsidRPr="003A01D4">
        <w:rPr>
          <w:rFonts w:eastAsia="Calibri"/>
          <w:szCs w:val="24"/>
          <w:lang w:val="en-US" w:eastAsia="en-US"/>
        </w:rPr>
        <w:t xml:space="preserve">The following agreement was reached in RAN1 #102-e meeting with regards to the simultaneous transmission of SRS Ant. Sw. with other SRS resources. </w:t>
      </w:r>
    </w:p>
    <w:p w14:paraId="302D6CA1" w14:textId="74BCA0B2" w:rsidR="003A01D4" w:rsidRPr="003A01D4" w:rsidRDefault="003A01D4" w:rsidP="00D053A0">
      <w:pPr>
        <w:jc w:val="both"/>
        <w:rPr>
          <w:rFonts w:eastAsia="Calibri"/>
          <w:szCs w:val="24"/>
          <w:lang w:val="en-US" w:eastAsia="en-US"/>
        </w:rPr>
      </w:pPr>
    </w:p>
    <w:tbl>
      <w:tblPr>
        <w:tblStyle w:val="TableGrid"/>
        <w:tblW w:w="0" w:type="auto"/>
        <w:tblLook w:val="04A0" w:firstRow="1" w:lastRow="0" w:firstColumn="1" w:lastColumn="0" w:noHBand="0" w:noVBand="1"/>
      </w:tblPr>
      <w:tblGrid>
        <w:gridCol w:w="20918"/>
      </w:tblGrid>
      <w:tr w:rsidR="003A01D4" w:rsidRPr="003A01D4" w14:paraId="7D982924" w14:textId="77777777" w:rsidTr="003A01D4">
        <w:tc>
          <w:tcPr>
            <w:tcW w:w="20918" w:type="dxa"/>
          </w:tcPr>
          <w:p w14:paraId="6D1B1944" w14:textId="77777777" w:rsidR="003A01D4" w:rsidRPr="003A01D4" w:rsidRDefault="003A01D4" w:rsidP="003A01D4">
            <w:pPr>
              <w:wordWrap w:val="0"/>
              <w:rPr>
                <w:rFonts w:ascii="Arial" w:eastAsiaTheme="minorHAnsi" w:hAnsi="Arial" w:cs="Arial"/>
                <w:b/>
                <w:bCs/>
                <w:szCs w:val="24"/>
                <w:lang w:val="en-US" w:eastAsia="ko-KR"/>
              </w:rPr>
            </w:pPr>
            <w:r w:rsidRPr="003A01D4">
              <w:rPr>
                <w:rFonts w:ascii="Arial" w:hAnsi="Arial" w:cs="Arial"/>
                <w:b/>
                <w:bCs/>
                <w:szCs w:val="24"/>
                <w:highlight w:val="green"/>
                <w:lang w:eastAsia="ko-KR"/>
              </w:rPr>
              <w:t>Agreement</w:t>
            </w:r>
          </w:p>
          <w:p w14:paraId="43A5241D" w14:textId="77777777" w:rsidR="003A01D4" w:rsidRPr="003A01D4" w:rsidRDefault="003A01D4" w:rsidP="003A01D4">
            <w:pPr>
              <w:pStyle w:val="ListParagraph"/>
              <w:numPr>
                <w:ilvl w:val="0"/>
                <w:numId w:val="182"/>
              </w:numPr>
              <w:wordWrap w:val="0"/>
              <w:spacing w:after="0"/>
              <w:ind w:leftChars="0"/>
              <w:rPr>
                <w:rFonts w:ascii="Arial" w:hAnsi="Arial" w:cs="Arial"/>
                <w:szCs w:val="24"/>
                <w:lang w:eastAsia="ko-KR"/>
              </w:rPr>
            </w:pPr>
            <w:r w:rsidRPr="003A01D4">
              <w:rPr>
                <w:rFonts w:ascii="Arial" w:hAnsi="Arial" w:cs="Arial"/>
                <w:szCs w:val="24"/>
                <w:lang w:eastAsia="ko-KR"/>
              </w:rPr>
              <w:t xml:space="preserve">In UL CA, for SRS for antenna switching + SRS for CB/NCB /BM/antenna switching case, the simultaneous transmission of SRS on different CCs  is subject to UE FG 22-5a/22-5b/22-5c/22-5d </w:t>
            </w:r>
          </w:p>
          <w:p w14:paraId="31674148" w14:textId="77777777" w:rsidR="003A01D4" w:rsidRPr="003A01D4" w:rsidRDefault="003A01D4" w:rsidP="003A01D4">
            <w:pPr>
              <w:pStyle w:val="ListParagraph"/>
              <w:numPr>
                <w:ilvl w:val="1"/>
                <w:numId w:val="182"/>
              </w:numPr>
              <w:wordWrap w:val="0"/>
              <w:spacing w:after="0"/>
              <w:ind w:leftChars="0"/>
              <w:rPr>
                <w:rFonts w:ascii="Arial" w:hAnsi="Arial" w:cs="Arial"/>
                <w:szCs w:val="24"/>
                <w:lang w:eastAsia="ko-KR"/>
              </w:rPr>
            </w:pPr>
            <w:r w:rsidRPr="003A01D4">
              <w:rPr>
                <w:rFonts w:ascii="Arial" w:hAnsi="Arial" w:cs="Arial"/>
                <w:szCs w:val="24"/>
                <w:lang w:eastAsia="ko-KR"/>
              </w:rPr>
              <w:t>New UE FG 22-5a/22-5b/22-5c/22-5d are introduced</w:t>
            </w:r>
          </w:p>
          <w:p w14:paraId="61402B57" w14:textId="77777777" w:rsidR="003A01D4" w:rsidRPr="003A01D4" w:rsidRDefault="003A01D4" w:rsidP="003A01D4">
            <w:pPr>
              <w:pStyle w:val="ListParagraph"/>
              <w:numPr>
                <w:ilvl w:val="1"/>
                <w:numId w:val="182"/>
              </w:numPr>
              <w:wordWrap w:val="0"/>
              <w:spacing w:after="0"/>
              <w:ind w:leftChars="0"/>
              <w:rPr>
                <w:rFonts w:ascii="Arial" w:hAnsi="Arial" w:cs="Arial"/>
                <w:szCs w:val="24"/>
                <w:lang w:eastAsia="ko-KR"/>
              </w:rPr>
            </w:pPr>
            <w:r w:rsidRPr="003A01D4">
              <w:rPr>
                <w:rFonts w:ascii="Arial" w:hAnsi="Arial" w:cs="Arial"/>
                <w:szCs w:val="24"/>
                <w:lang w:eastAsia="ko-KR"/>
              </w:rPr>
              <w:t xml:space="preserve">Note: For simultaneously </w:t>
            </w:r>
            <w:proofErr w:type="spellStart"/>
            <w:r w:rsidRPr="003A01D4">
              <w:rPr>
                <w:rFonts w:ascii="Arial" w:hAnsi="Arial" w:cs="Arial"/>
                <w:szCs w:val="24"/>
                <w:lang w:eastAsia="ko-KR"/>
              </w:rPr>
              <w:t>Ant.Sw</w:t>
            </w:r>
            <w:proofErr w:type="spellEnd"/>
            <w:r w:rsidRPr="003A01D4">
              <w:rPr>
                <w:rFonts w:ascii="Arial" w:hAnsi="Arial" w:cs="Arial"/>
                <w:szCs w:val="24"/>
                <w:lang w:eastAsia="ko-KR"/>
              </w:rPr>
              <w:t xml:space="preserve"> . + </w:t>
            </w:r>
            <w:proofErr w:type="spellStart"/>
            <w:r w:rsidRPr="003A01D4">
              <w:rPr>
                <w:rFonts w:ascii="Arial" w:hAnsi="Arial" w:cs="Arial"/>
                <w:szCs w:val="24"/>
                <w:lang w:eastAsia="ko-KR"/>
              </w:rPr>
              <w:t>Ant.Sw</w:t>
            </w:r>
            <w:proofErr w:type="spellEnd"/>
            <w:r w:rsidRPr="003A01D4">
              <w:rPr>
                <w:rFonts w:ascii="Arial" w:hAnsi="Arial" w:cs="Arial"/>
                <w:szCs w:val="24"/>
                <w:lang w:eastAsia="ko-KR"/>
              </w:rPr>
              <w:t xml:space="preserve"> SRS in intra-band CA, or in inter-band CAs with bands whose UL are switched together according to the reported UE capability, the UE expects the same configuration of </w:t>
            </w:r>
            <w:proofErr w:type="spellStart"/>
            <w:r w:rsidRPr="003A01D4">
              <w:rPr>
                <w:rFonts w:ascii="Arial" w:hAnsi="Arial" w:cs="Arial"/>
                <w:szCs w:val="24"/>
                <w:lang w:eastAsia="ko-KR"/>
              </w:rPr>
              <w:t>xTyR</w:t>
            </w:r>
            <w:proofErr w:type="spellEnd"/>
            <w:r w:rsidRPr="003A01D4">
              <w:rPr>
                <w:rFonts w:ascii="Arial" w:hAnsi="Arial" w:cs="Arial"/>
                <w:szCs w:val="24"/>
                <w:lang w:eastAsia="ko-KR"/>
              </w:rPr>
              <w:t xml:space="preserve"> across the different CCs  and the SRS resources overlapped in time domain from UE perspective are from the same UE antenna ports.</w:t>
            </w:r>
          </w:p>
          <w:p w14:paraId="75CB8DAE" w14:textId="77777777" w:rsidR="003A01D4" w:rsidRPr="003A01D4" w:rsidRDefault="003A01D4" w:rsidP="003A01D4">
            <w:pPr>
              <w:pStyle w:val="ListParagraph"/>
              <w:numPr>
                <w:ilvl w:val="0"/>
                <w:numId w:val="182"/>
              </w:numPr>
              <w:wordWrap w:val="0"/>
              <w:spacing w:after="0"/>
              <w:ind w:leftChars="0"/>
              <w:rPr>
                <w:rFonts w:ascii="Arial" w:hAnsi="Arial" w:cs="Arial"/>
                <w:szCs w:val="24"/>
                <w:lang w:eastAsia="ko-KR"/>
              </w:rPr>
            </w:pPr>
            <w:r w:rsidRPr="003A01D4">
              <w:rPr>
                <w:rFonts w:ascii="Arial" w:hAnsi="Arial" w:cs="Arial"/>
                <w:szCs w:val="24"/>
                <w:lang w:eastAsia="ko-KR"/>
              </w:rPr>
              <w:t>Note: In UL CA, for SRS for CB/NCB /BM + SRS for CB/NCB /BM case, the simultaneous transmission of SRS on different CCs are supported in the supported combinations subject to UE capability in Rel-15</w:t>
            </w:r>
          </w:p>
          <w:p w14:paraId="1D074DB1" w14:textId="77777777" w:rsidR="003A01D4" w:rsidRPr="003A01D4" w:rsidRDefault="003A01D4" w:rsidP="003A01D4">
            <w:pPr>
              <w:pStyle w:val="ListParagraph"/>
              <w:numPr>
                <w:ilvl w:val="1"/>
                <w:numId w:val="182"/>
              </w:numPr>
              <w:wordWrap w:val="0"/>
              <w:spacing w:after="0"/>
              <w:ind w:leftChars="0"/>
              <w:rPr>
                <w:rFonts w:ascii="Arial" w:hAnsi="Arial" w:cs="Arial"/>
                <w:szCs w:val="24"/>
                <w:lang w:eastAsia="ko-KR"/>
              </w:rPr>
            </w:pPr>
            <w:r w:rsidRPr="003A01D4">
              <w:rPr>
                <w:rFonts w:ascii="Arial" w:hAnsi="Arial" w:cs="Arial"/>
                <w:szCs w:val="24"/>
                <w:lang w:eastAsia="ko-KR"/>
              </w:rPr>
              <w:t>No spec impact for this</w:t>
            </w:r>
          </w:p>
          <w:p w14:paraId="45DAFFE7" w14:textId="1AE86FFE" w:rsidR="003A01D4" w:rsidRPr="003A01D4" w:rsidRDefault="003A01D4" w:rsidP="003A01D4">
            <w:pPr>
              <w:pStyle w:val="ListParagraph"/>
              <w:numPr>
                <w:ilvl w:val="0"/>
                <w:numId w:val="182"/>
              </w:numPr>
              <w:wordWrap w:val="0"/>
              <w:spacing w:after="0"/>
              <w:ind w:leftChars="0"/>
              <w:rPr>
                <w:rFonts w:ascii="Arial" w:hAnsi="Arial" w:cs="Arial"/>
                <w:szCs w:val="24"/>
                <w:lang w:eastAsia="ko-KR"/>
              </w:rPr>
            </w:pPr>
            <w:r w:rsidRPr="003A01D4">
              <w:rPr>
                <w:rFonts w:ascii="Arial" w:hAnsi="Arial" w:cs="Arial"/>
                <w:szCs w:val="24"/>
                <w:lang w:eastAsia="ko-KR"/>
              </w:rPr>
              <w:t>Note: different spatial relation for SRS +SRS is a separate issue</w:t>
            </w:r>
          </w:p>
        </w:tc>
      </w:tr>
    </w:tbl>
    <w:p w14:paraId="01F85891" w14:textId="77777777" w:rsidR="003A01D4" w:rsidRPr="003A01D4" w:rsidRDefault="003A01D4" w:rsidP="00D053A0">
      <w:pPr>
        <w:jc w:val="both"/>
        <w:rPr>
          <w:rFonts w:eastAsia="Calibri"/>
          <w:szCs w:val="24"/>
          <w:lang w:eastAsia="en-US"/>
        </w:rPr>
      </w:pPr>
    </w:p>
    <w:p w14:paraId="08A6F742" w14:textId="2572432E" w:rsidR="00171AD5" w:rsidRDefault="003A01D4" w:rsidP="00D053A0">
      <w:pPr>
        <w:jc w:val="both"/>
        <w:rPr>
          <w:rFonts w:eastAsia="Calibri"/>
          <w:szCs w:val="24"/>
          <w:lang w:val="en-US" w:eastAsia="en-US"/>
        </w:rPr>
      </w:pPr>
      <w:r w:rsidRPr="003A01D4">
        <w:rPr>
          <w:rFonts w:eastAsia="Calibri"/>
          <w:szCs w:val="24"/>
          <w:lang w:val="en-US" w:eastAsia="en-US"/>
        </w:rPr>
        <w:t xml:space="preserve">Even though the </w:t>
      </w:r>
      <w:r>
        <w:rPr>
          <w:rFonts w:eastAsia="Calibri"/>
          <w:szCs w:val="24"/>
          <w:lang w:val="en-US" w:eastAsia="en-US"/>
        </w:rPr>
        <w:t>new FGs were added in the LS to RAN2 [2], th</w:t>
      </w:r>
      <w:r w:rsidR="00171AD5">
        <w:rPr>
          <w:rFonts w:eastAsia="Calibri"/>
          <w:szCs w:val="24"/>
          <w:lang w:val="en-US" w:eastAsia="en-US"/>
        </w:rPr>
        <w:t xml:space="preserve">e following </w:t>
      </w:r>
      <w:r w:rsidR="009953C7">
        <w:rPr>
          <w:rFonts w:eastAsia="Calibri"/>
          <w:szCs w:val="24"/>
          <w:lang w:val="en-US" w:eastAsia="en-US"/>
        </w:rPr>
        <w:t>Note</w:t>
      </w:r>
      <w:r w:rsidR="00171AD5">
        <w:rPr>
          <w:rFonts w:eastAsia="Calibri"/>
          <w:szCs w:val="24"/>
          <w:lang w:val="en-US" w:eastAsia="en-US"/>
        </w:rPr>
        <w:t xml:space="preserve"> from the above agreement was not captured in the 38.306 specification</w:t>
      </w:r>
      <w:r w:rsidR="009953C7">
        <w:rPr>
          <w:rFonts w:eastAsia="Calibri"/>
          <w:szCs w:val="24"/>
          <w:lang w:val="en-US" w:eastAsia="en-US"/>
        </w:rPr>
        <w:t>:</w:t>
      </w:r>
    </w:p>
    <w:p w14:paraId="11AD09B8" w14:textId="77777777" w:rsidR="00171AD5" w:rsidRPr="003A01D4" w:rsidRDefault="00171AD5" w:rsidP="00171AD5">
      <w:pPr>
        <w:pStyle w:val="ListParagraph"/>
        <w:numPr>
          <w:ilvl w:val="1"/>
          <w:numId w:val="183"/>
        </w:numPr>
        <w:wordWrap w:val="0"/>
        <w:ind w:leftChars="0"/>
        <w:rPr>
          <w:rFonts w:ascii="Arial" w:hAnsi="Arial" w:cs="Arial"/>
          <w:szCs w:val="24"/>
          <w:lang w:eastAsia="ko-KR"/>
        </w:rPr>
      </w:pPr>
      <w:r w:rsidRPr="003A01D4">
        <w:rPr>
          <w:rFonts w:ascii="Arial" w:hAnsi="Arial" w:cs="Arial"/>
          <w:szCs w:val="24"/>
          <w:lang w:eastAsia="ko-KR"/>
        </w:rPr>
        <w:t xml:space="preserve">Note: For simultaneously </w:t>
      </w:r>
      <w:proofErr w:type="spellStart"/>
      <w:r w:rsidRPr="003A01D4">
        <w:rPr>
          <w:rFonts w:ascii="Arial" w:hAnsi="Arial" w:cs="Arial"/>
          <w:szCs w:val="24"/>
          <w:lang w:eastAsia="ko-KR"/>
        </w:rPr>
        <w:t>Ant.Sw</w:t>
      </w:r>
      <w:proofErr w:type="spellEnd"/>
      <w:r w:rsidRPr="003A01D4">
        <w:rPr>
          <w:rFonts w:ascii="Arial" w:hAnsi="Arial" w:cs="Arial"/>
          <w:szCs w:val="24"/>
          <w:lang w:eastAsia="ko-KR"/>
        </w:rPr>
        <w:t xml:space="preserve"> . + </w:t>
      </w:r>
      <w:proofErr w:type="spellStart"/>
      <w:r w:rsidRPr="003A01D4">
        <w:rPr>
          <w:rFonts w:ascii="Arial" w:hAnsi="Arial" w:cs="Arial"/>
          <w:szCs w:val="24"/>
          <w:lang w:eastAsia="ko-KR"/>
        </w:rPr>
        <w:t>Ant.Sw</w:t>
      </w:r>
      <w:proofErr w:type="spellEnd"/>
      <w:r w:rsidRPr="003A01D4">
        <w:rPr>
          <w:rFonts w:ascii="Arial" w:hAnsi="Arial" w:cs="Arial"/>
          <w:szCs w:val="24"/>
          <w:lang w:eastAsia="ko-KR"/>
        </w:rPr>
        <w:t xml:space="preserve"> SRS in intra-band CA, or in inter-band CAs with bands whose UL are switched together according to the reported UE capability, the UE expects the same configuration of </w:t>
      </w:r>
      <w:proofErr w:type="spellStart"/>
      <w:r w:rsidRPr="003A01D4">
        <w:rPr>
          <w:rFonts w:ascii="Arial" w:hAnsi="Arial" w:cs="Arial"/>
          <w:szCs w:val="24"/>
          <w:lang w:eastAsia="ko-KR"/>
        </w:rPr>
        <w:t>xTyR</w:t>
      </w:r>
      <w:proofErr w:type="spellEnd"/>
      <w:r w:rsidRPr="003A01D4">
        <w:rPr>
          <w:rFonts w:ascii="Arial" w:hAnsi="Arial" w:cs="Arial"/>
          <w:szCs w:val="24"/>
          <w:lang w:eastAsia="ko-KR"/>
        </w:rPr>
        <w:t xml:space="preserve"> across the different CCs  and the SRS resources overlapped in time domain from UE perspective are from the same UE antenna ports.</w:t>
      </w:r>
    </w:p>
    <w:p w14:paraId="23ABEF46" w14:textId="240B6BB5" w:rsidR="00171AD5" w:rsidRDefault="00171AD5" w:rsidP="00171AD5">
      <w:pPr>
        <w:jc w:val="both"/>
        <w:rPr>
          <w:rFonts w:eastAsia="Calibri"/>
          <w:szCs w:val="24"/>
          <w:lang w:val="en-US" w:eastAsia="en-US"/>
        </w:rPr>
      </w:pPr>
    </w:p>
    <w:p w14:paraId="652FBD18" w14:textId="7F99E61F" w:rsidR="00171AD5" w:rsidRDefault="00171AD5" w:rsidP="00171AD5">
      <w:pPr>
        <w:jc w:val="both"/>
        <w:rPr>
          <w:rFonts w:eastAsia="Calibri"/>
          <w:szCs w:val="24"/>
          <w:lang w:val="en-US" w:eastAsia="en-US"/>
        </w:rPr>
      </w:pPr>
      <w:r>
        <w:rPr>
          <w:rFonts w:eastAsia="Calibri"/>
          <w:szCs w:val="24"/>
          <w:lang w:val="en-US" w:eastAsia="en-US"/>
        </w:rPr>
        <w:t xml:space="preserve">It should be noted that this Note is important for both UE and </w:t>
      </w:r>
      <w:proofErr w:type="spellStart"/>
      <w:r>
        <w:rPr>
          <w:rFonts w:eastAsia="Calibri"/>
          <w:szCs w:val="24"/>
          <w:lang w:val="en-US" w:eastAsia="en-US"/>
        </w:rPr>
        <w:t>gNB</w:t>
      </w:r>
      <w:r w:rsidR="009953C7">
        <w:rPr>
          <w:rFonts w:eastAsia="Calibri"/>
          <w:szCs w:val="24"/>
          <w:lang w:val="en-US" w:eastAsia="en-US"/>
        </w:rPr>
        <w:t>s</w:t>
      </w:r>
      <w:proofErr w:type="spellEnd"/>
      <w:r w:rsidR="009953C7">
        <w:rPr>
          <w:rFonts w:eastAsia="Calibri"/>
          <w:szCs w:val="24"/>
          <w:lang w:val="en-US" w:eastAsia="en-US"/>
        </w:rPr>
        <w:t xml:space="preserve"> to</w:t>
      </w:r>
      <w:r>
        <w:rPr>
          <w:rFonts w:eastAsia="Calibri"/>
          <w:szCs w:val="24"/>
          <w:lang w:val="en-US" w:eastAsia="en-US"/>
        </w:rPr>
        <w:t xml:space="preserve"> have a common understanding on what is expected from a UE that supports this feature. </w:t>
      </w:r>
      <w:r w:rsidR="009953C7">
        <w:rPr>
          <w:rFonts w:eastAsia="Calibri"/>
          <w:szCs w:val="24"/>
          <w:lang w:val="en-US" w:eastAsia="en-US"/>
        </w:rPr>
        <w:t xml:space="preserve">Without the note, there is a risk of misconfiguring the UEs with Ant Switching configurations which are not compatible. </w:t>
      </w:r>
    </w:p>
    <w:p w14:paraId="17F10034" w14:textId="13A17A19" w:rsidR="00171AD5" w:rsidRDefault="00171AD5" w:rsidP="00171AD5">
      <w:pPr>
        <w:jc w:val="both"/>
        <w:rPr>
          <w:rFonts w:eastAsia="Calibri"/>
          <w:szCs w:val="24"/>
          <w:lang w:val="en-US" w:eastAsia="en-US"/>
        </w:rPr>
      </w:pPr>
    </w:p>
    <w:p w14:paraId="34D5D531" w14:textId="725D30BB" w:rsidR="00171AD5" w:rsidRPr="00171AD5" w:rsidRDefault="00171AD5" w:rsidP="00171AD5">
      <w:pPr>
        <w:jc w:val="both"/>
        <w:rPr>
          <w:rFonts w:ascii="Arial" w:hAnsi="Arial" w:cs="Arial"/>
          <w:b/>
          <w:bCs/>
          <w:i/>
          <w:iCs/>
          <w:szCs w:val="24"/>
          <w:lang w:eastAsia="ko-KR"/>
        </w:rPr>
      </w:pPr>
      <w:r w:rsidRPr="00171AD5">
        <w:rPr>
          <w:rFonts w:ascii="Arial" w:hAnsi="Arial" w:cs="Arial"/>
          <w:b/>
          <w:bCs/>
          <w:i/>
          <w:iCs/>
          <w:szCs w:val="24"/>
          <w:lang w:eastAsia="ko-KR"/>
        </w:rPr>
        <w:t>Proposal 1: Send an LS to RAN2 to add in the description of FG 22-5c and 22-5d the following note:</w:t>
      </w:r>
    </w:p>
    <w:p w14:paraId="639B962E" w14:textId="37125B6A" w:rsidR="00171AD5" w:rsidRPr="00171AD5" w:rsidRDefault="00171AD5" w:rsidP="00171AD5">
      <w:pPr>
        <w:pStyle w:val="ListParagraph"/>
        <w:numPr>
          <w:ilvl w:val="0"/>
          <w:numId w:val="184"/>
        </w:numPr>
        <w:wordWrap w:val="0"/>
        <w:ind w:leftChars="0"/>
        <w:rPr>
          <w:rFonts w:ascii="Arial" w:hAnsi="Arial" w:cs="Arial"/>
          <w:b/>
          <w:bCs/>
          <w:i/>
          <w:iCs/>
          <w:szCs w:val="24"/>
          <w:lang w:eastAsia="ko-KR"/>
        </w:rPr>
      </w:pPr>
      <w:r w:rsidRPr="00171AD5">
        <w:rPr>
          <w:rFonts w:ascii="Arial" w:hAnsi="Arial" w:cs="Arial"/>
          <w:b/>
          <w:bCs/>
          <w:i/>
          <w:iCs/>
          <w:szCs w:val="24"/>
          <w:lang w:eastAsia="ko-KR"/>
        </w:rPr>
        <w:t xml:space="preserve">For simultaneously </w:t>
      </w:r>
      <w:proofErr w:type="spellStart"/>
      <w:r w:rsidRPr="00171AD5">
        <w:rPr>
          <w:rFonts w:ascii="Arial" w:hAnsi="Arial" w:cs="Arial"/>
          <w:b/>
          <w:bCs/>
          <w:i/>
          <w:iCs/>
          <w:szCs w:val="24"/>
          <w:lang w:eastAsia="ko-KR"/>
        </w:rPr>
        <w:t>Ant.Sw</w:t>
      </w:r>
      <w:proofErr w:type="spellEnd"/>
      <w:r w:rsidRPr="00171AD5">
        <w:rPr>
          <w:rFonts w:ascii="Arial" w:hAnsi="Arial" w:cs="Arial"/>
          <w:b/>
          <w:bCs/>
          <w:i/>
          <w:iCs/>
          <w:szCs w:val="24"/>
          <w:lang w:eastAsia="ko-KR"/>
        </w:rPr>
        <w:t xml:space="preserve"> . + </w:t>
      </w:r>
      <w:proofErr w:type="spellStart"/>
      <w:r w:rsidRPr="00171AD5">
        <w:rPr>
          <w:rFonts w:ascii="Arial" w:hAnsi="Arial" w:cs="Arial"/>
          <w:b/>
          <w:bCs/>
          <w:i/>
          <w:iCs/>
          <w:szCs w:val="24"/>
          <w:lang w:eastAsia="ko-KR"/>
        </w:rPr>
        <w:t>Ant.Sw</w:t>
      </w:r>
      <w:proofErr w:type="spellEnd"/>
      <w:r w:rsidRPr="00171AD5">
        <w:rPr>
          <w:rFonts w:ascii="Arial" w:hAnsi="Arial" w:cs="Arial"/>
          <w:b/>
          <w:bCs/>
          <w:i/>
          <w:iCs/>
          <w:szCs w:val="24"/>
          <w:lang w:eastAsia="ko-KR"/>
        </w:rPr>
        <w:t xml:space="preserve"> SRS in intra-band CA, or in inter-band CAs with bands whose UL are switched together according to the reported UE capability, the UE expects the same configuration of </w:t>
      </w:r>
      <w:proofErr w:type="spellStart"/>
      <w:r w:rsidRPr="00171AD5">
        <w:rPr>
          <w:rFonts w:ascii="Arial" w:hAnsi="Arial" w:cs="Arial"/>
          <w:b/>
          <w:bCs/>
          <w:i/>
          <w:iCs/>
          <w:szCs w:val="24"/>
          <w:lang w:eastAsia="ko-KR"/>
        </w:rPr>
        <w:t>xTyR</w:t>
      </w:r>
      <w:proofErr w:type="spellEnd"/>
      <w:r w:rsidRPr="00171AD5">
        <w:rPr>
          <w:rFonts w:ascii="Arial" w:hAnsi="Arial" w:cs="Arial"/>
          <w:b/>
          <w:bCs/>
          <w:i/>
          <w:iCs/>
          <w:szCs w:val="24"/>
          <w:lang w:eastAsia="ko-KR"/>
        </w:rPr>
        <w:t xml:space="preserve"> across the different CCs  and the SRS resources overlapped in time domain from UE perspective are from the same UE antenna ports.</w:t>
      </w:r>
    </w:p>
    <w:p w14:paraId="6811D4E4" w14:textId="4A942A73" w:rsidR="00623FCB" w:rsidRDefault="00623FCB" w:rsidP="00D053A0">
      <w:pPr>
        <w:jc w:val="both"/>
        <w:rPr>
          <w:rFonts w:eastAsia="Calibri"/>
          <w:sz w:val="20"/>
          <w:lang w:val="en-US" w:eastAsia="en-US"/>
        </w:rPr>
      </w:pPr>
    </w:p>
    <w:p w14:paraId="312D6987" w14:textId="77777777" w:rsidR="00D75A40" w:rsidRPr="00D053A0" w:rsidRDefault="00D75A40" w:rsidP="00D053A0">
      <w:pPr>
        <w:jc w:val="both"/>
        <w:rPr>
          <w:rFonts w:eastAsia="Calibri"/>
          <w:sz w:val="20"/>
          <w:lang w:val="en-US" w:eastAsia="en-US"/>
        </w:rPr>
      </w:pPr>
    </w:p>
    <w:p w14:paraId="7608F18B" w14:textId="27D886A6" w:rsidR="00970496" w:rsidRPr="00970496" w:rsidRDefault="00970496" w:rsidP="00970496">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70496">
        <w:rPr>
          <w:rFonts w:ascii="Arial" w:eastAsia="Batang" w:hAnsi="Arial"/>
          <w:sz w:val="32"/>
          <w:szCs w:val="32"/>
          <w:lang w:val="en-US" w:eastAsia="ko-KR"/>
        </w:rPr>
        <w:t>References</w:t>
      </w:r>
    </w:p>
    <w:p w14:paraId="50274932" w14:textId="2C0417F9" w:rsidR="00970496" w:rsidRPr="00D75A40" w:rsidRDefault="003A01D4" w:rsidP="003A01D4">
      <w:pPr>
        <w:spacing w:after="60"/>
        <w:ind w:left="1985" w:hanging="1985"/>
        <w:rPr>
          <w:rFonts w:ascii="Arial" w:eastAsia="MS Mincho" w:hAnsi="Arial" w:cs="Arial"/>
          <w:bCs/>
          <w:sz w:val="32"/>
          <w:szCs w:val="24"/>
        </w:rPr>
      </w:pPr>
      <w:bookmarkStart w:id="5" w:name="_Ref47553451"/>
      <w:bookmarkStart w:id="6" w:name="_Ref47601366"/>
      <w:r w:rsidRPr="00D75A40">
        <w:rPr>
          <w:bCs/>
          <w:szCs w:val="24"/>
        </w:rPr>
        <w:t xml:space="preserve">[1] </w:t>
      </w:r>
      <w:r w:rsidR="00970496" w:rsidRPr="00D75A40">
        <w:rPr>
          <w:bCs/>
          <w:szCs w:val="24"/>
        </w:rPr>
        <w:t>R1-</w:t>
      </w:r>
      <w:bookmarkEnd w:id="5"/>
      <w:r w:rsidR="00AB0439" w:rsidRPr="00D75A40">
        <w:rPr>
          <w:bCs/>
          <w:szCs w:val="24"/>
        </w:rPr>
        <w:t>2102007</w:t>
      </w:r>
      <w:r w:rsidR="00970496" w:rsidRPr="00D75A40">
        <w:rPr>
          <w:bCs/>
          <w:szCs w:val="24"/>
        </w:rPr>
        <w:t xml:space="preserve"> “</w:t>
      </w:r>
      <w:r w:rsidRPr="00D75A40">
        <w:rPr>
          <w:bCs/>
          <w:szCs w:val="24"/>
        </w:rPr>
        <w:t>LS on updated Rel-16 RAN1 UE features lists for NR after RAN1#104-e</w:t>
      </w:r>
      <w:r w:rsidR="00970496" w:rsidRPr="00D75A40">
        <w:rPr>
          <w:bCs/>
          <w:szCs w:val="24"/>
        </w:rPr>
        <w:t>“ Moderators (AT&amp;T, NTT DOCOMO, INC.)</w:t>
      </w:r>
      <w:bookmarkEnd w:id="6"/>
    </w:p>
    <w:p w14:paraId="78DFE562" w14:textId="0C04282F" w:rsidR="005A7CB6" w:rsidRPr="00D75A40" w:rsidRDefault="003A01D4" w:rsidP="00D75A40">
      <w:pPr>
        <w:spacing w:after="60"/>
        <w:ind w:left="1985" w:hanging="1985"/>
        <w:rPr>
          <w:rFonts w:ascii="Arial" w:eastAsia="MS Mincho" w:hAnsi="Arial" w:cs="Arial"/>
          <w:bCs/>
          <w:sz w:val="32"/>
          <w:szCs w:val="24"/>
        </w:rPr>
      </w:pPr>
      <w:r w:rsidRPr="00D75A40">
        <w:rPr>
          <w:bCs/>
          <w:szCs w:val="24"/>
        </w:rPr>
        <w:t>[2] R1-2102007 “Updated RAN1 UE features list for Rel-16 NR including remaining RAN1 issues“ Moderators (AT&amp;T, NTT DOCOMO, INC.)</w:t>
      </w:r>
    </w:p>
    <w:sectPr w:rsidR="005A7CB6" w:rsidRPr="00D75A40" w:rsidSect="00AB0439">
      <w:headerReference w:type="even" r:id="rId12"/>
      <w:headerReference w:type="default" r:id="rId13"/>
      <w:footerReference w:type="even" r:id="rId14"/>
      <w:footerReference w:type="default" r:id="rId15"/>
      <w:headerReference w:type="first" r:id="rId16"/>
      <w:footerReference w:type="first" r:id="rId17"/>
      <w:pgSz w:w="23808" w:h="16840" w:orient="landscape"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CB689" w14:textId="77777777" w:rsidR="007D50FA" w:rsidRDefault="007D50FA">
      <w:r>
        <w:separator/>
      </w:r>
    </w:p>
  </w:endnote>
  <w:endnote w:type="continuationSeparator" w:id="0">
    <w:p w14:paraId="014DECA0" w14:textId="77777777" w:rsidR="007D50FA" w:rsidRDefault="007D50FA">
      <w:r>
        <w:continuationSeparator/>
      </w:r>
    </w:p>
  </w:endnote>
  <w:endnote w:type="continuationNotice" w:id="1">
    <w:p w14:paraId="0C6C3527" w14:textId="77777777" w:rsidR="007D50FA" w:rsidRDefault="007D50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31A30" w14:textId="77777777" w:rsidR="00AB0439" w:rsidRDefault="00AB04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7D50FA" w:rsidRPr="00000924" w:rsidRDefault="007D50F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C43F1" w14:textId="77777777" w:rsidR="00AB0439" w:rsidRDefault="00AB04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2167C" w14:textId="77777777" w:rsidR="007D50FA" w:rsidRDefault="007D50FA">
      <w:r>
        <w:separator/>
      </w:r>
    </w:p>
  </w:footnote>
  <w:footnote w:type="continuationSeparator" w:id="0">
    <w:p w14:paraId="3D9790CB" w14:textId="77777777" w:rsidR="007D50FA" w:rsidRDefault="007D50FA">
      <w:r>
        <w:continuationSeparator/>
      </w:r>
    </w:p>
  </w:footnote>
  <w:footnote w:type="continuationNotice" w:id="1">
    <w:p w14:paraId="14B4AC56" w14:textId="77777777" w:rsidR="007D50FA" w:rsidRDefault="007D50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52E36" w14:textId="77777777" w:rsidR="00AB0439" w:rsidRDefault="00AB04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1034B" w14:textId="77777777" w:rsidR="00AB0439" w:rsidRDefault="00AB04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309FA" w14:textId="77777777" w:rsidR="00AB0439" w:rsidRDefault="00AB04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160628FE"/>
    <w:multiLevelType w:val="hybridMultilevel"/>
    <w:tmpl w:val="C0B22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1FDC6BAE"/>
    <w:multiLevelType w:val="hybridMultilevel"/>
    <w:tmpl w:val="B6C05E88"/>
    <w:lvl w:ilvl="0" w:tplc="872C4C7C">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7"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6" w15:restartNumberingAfterBreak="0">
    <w:nsid w:val="267D4F19"/>
    <w:multiLevelType w:val="multilevel"/>
    <w:tmpl w:val="7E2E529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8"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7"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9" w15:restartNumberingAfterBreak="0">
    <w:nsid w:val="39CE5DF3"/>
    <w:multiLevelType w:val="hybridMultilevel"/>
    <w:tmpl w:val="544AF43A"/>
    <w:lvl w:ilvl="0" w:tplc="0409000F">
      <w:start w:val="1"/>
      <w:numFmt w:val="decimal"/>
      <w:lvlText w:val="%1."/>
      <w:lvlJc w:val="left"/>
      <w:pPr>
        <w:ind w:left="420" w:hanging="420"/>
      </w:pPr>
    </w:lvl>
    <w:lvl w:ilvl="1" w:tplc="8DD8F978">
      <w:start w:val="1"/>
      <w:numFmt w:val="decimal"/>
      <w:lvlText w:val="(%2)"/>
      <w:lvlJc w:val="left"/>
      <w:pPr>
        <w:ind w:left="840" w:hanging="420"/>
      </w:pPr>
      <w:rPr>
        <w:rFonts w:eastAsia="Arial Unicode M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6"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9" w15:restartNumberingAfterBreak="0">
    <w:nsid w:val="3D4F3215"/>
    <w:multiLevelType w:val="hybridMultilevel"/>
    <w:tmpl w:val="0C36E3EE"/>
    <w:lvl w:ilvl="0" w:tplc="C7F6BA02">
      <w:start w:val="1"/>
      <w:numFmt w:val="bullet"/>
      <w:lvlText w:val=""/>
      <w:lvlJc w:val="left"/>
      <w:pPr>
        <w:tabs>
          <w:tab w:val="num" w:pos="720"/>
        </w:tabs>
        <w:ind w:left="720" w:hanging="360"/>
      </w:pPr>
      <w:rPr>
        <w:rFonts w:ascii="Wingdings" w:hAnsi="Wingdings" w:hint="default"/>
      </w:rPr>
    </w:lvl>
    <w:lvl w:ilvl="1" w:tplc="510477C2">
      <w:numFmt w:val="bullet"/>
      <w:lvlText w:val=""/>
      <w:lvlJc w:val="left"/>
      <w:pPr>
        <w:tabs>
          <w:tab w:val="num" w:pos="1440"/>
        </w:tabs>
        <w:ind w:left="1440" w:hanging="360"/>
      </w:pPr>
      <w:rPr>
        <w:rFonts w:ascii="Wingdings" w:hAnsi="Wingdings" w:hint="default"/>
      </w:rPr>
    </w:lvl>
    <w:lvl w:ilvl="2" w:tplc="C3DEB752">
      <w:numFmt w:val="bullet"/>
      <w:lvlText w:val=""/>
      <w:lvlJc w:val="left"/>
      <w:pPr>
        <w:tabs>
          <w:tab w:val="num" w:pos="2160"/>
        </w:tabs>
        <w:ind w:left="2160" w:hanging="360"/>
      </w:pPr>
      <w:rPr>
        <w:rFonts w:ascii="Wingdings" w:hAnsi="Wingdings" w:hint="default"/>
      </w:rPr>
    </w:lvl>
    <w:lvl w:ilvl="3" w:tplc="6D0012AC">
      <w:start w:val="1"/>
      <w:numFmt w:val="bullet"/>
      <w:lvlText w:val=""/>
      <w:lvlJc w:val="left"/>
      <w:pPr>
        <w:tabs>
          <w:tab w:val="num" w:pos="2880"/>
        </w:tabs>
        <w:ind w:left="2880" w:hanging="360"/>
      </w:pPr>
      <w:rPr>
        <w:rFonts w:ascii="Wingdings" w:hAnsi="Wingdings" w:hint="default"/>
      </w:rPr>
    </w:lvl>
    <w:lvl w:ilvl="4" w:tplc="9FEA6310">
      <w:start w:val="1"/>
      <w:numFmt w:val="bullet"/>
      <w:lvlText w:val=""/>
      <w:lvlJc w:val="left"/>
      <w:pPr>
        <w:tabs>
          <w:tab w:val="num" w:pos="3600"/>
        </w:tabs>
        <w:ind w:left="3600" w:hanging="360"/>
      </w:pPr>
      <w:rPr>
        <w:rFonts w:ascii="Wingdings" w:hAnsi="Wingdings" w:hint="default"/>
      </w:rPr>
    </w:lvl>
    <w:lvl w:ilvl="5" w:tplc="D10C3EAA">
      <w:start w:val="1"/>
      <w:numFmt w:val="bullet"/>
      <w:lvlText w:val=""/>
      <w:lvlJc w:val="left"/>
      <w:pPr>
        <w:tabs>
          <w:tab w:val="num" w:pos="4320"/>
        </w:tabs>
        <w:ind w:left="4320" w:hanging="360"/>
      </w:pPr>
      <w:rPr>
        <w:rFonts w:ascii="Wingdings" w:hAnsi="Wingdings" w:hint="default"/>
      </w:rPr>
    </w:lvl>
    <w:lvl w:ilvl="6" w:tplc="6510A5EE">
      <w:start w:val="1"/>
      <w:numFmt w:val="bullet"/>
      <w:lvlText w:val=""/>
      <w:lvlJc w:val="left"/>
      <w:pPr>
        <w:tabs>
          <w:tab w:val="num" w:pos="5040"/>
        </w:tabs>
        <w:ind w:left="5040" w:hanging="360"/>
      </w:pPr>
      <w:rPr>
        <w:rFonts w:ascii="Wingdings" w:hAnsi="Wingdings" w:hint="default"/>
      </w:rPr>
    </w:lvl>
    <w:lvl w:ilvl="7" w:tplc="464C2DC6">
      <w:start w:val="1"/>
      <w:numFmt w:val="bullet"/>
      <w:lvlText w:val=""/>
      <w:lvlJc w:val="left"/>
      <w:pPr>
        <w:tabs>
          <w:tab w:val="num" w:pos="5760"/>
        </w:tabs>
        <w:ind w:left="5760" w:hanging="360"/>
      </w:pPr>
      <w:rPr>
        <w:rFonts w:ascii="Wingdings" w:hAnsi="Wingdings" w:hint="default"/>
      </w:rPr>
    </w:lvl>
    <w:lvl w:ilvl="8" w:tplc="8C505ABE">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2" w15:restartNumberingAfterBreak="0">
    <w:nsid w:val="40373183"/>
    <w:multiLevelType w:val="hybridMultilevel"/>
    <w:tmpl w:val="E064D9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3"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8"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6" w15:restartNumberingAfterBreak="0">
    <w:nsid w:val="4950538E"/>
    <w:multiLevelType w:val="hybridMultilevel"/>
    <w:tmpl w:val="C0E248A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4DD40BAD"/>
    <w:multiLevelType w:val="multilevel"/>
    <w:tmpl w:val="510EDA3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0"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4"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215345A"/>
    <w:multiLevelType w:val="hybridMultilevel"/>
    <w:tmpl w:val="14DCA6F8"/>
    <w:lvl w:ilvl="0" w:tplc="C716205E">
      <w:start w:val="35"/>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0"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2" w15:restartNumberingAfterBreak="0">
    <w:nsid w:val="56CA5119"/>
    <w:multiLevelType w:val="hybridMultilevel"/>
    <w:tmpl w:val="C14E5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3"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4"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7"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5BE76A21"/>
    <w:multiLevelType w:val="hybridMultilevel"/>
    <w:tmpl w:val="A47CDC96"/>
    <w:lvl w:ilvl="0" w:tplc="2432F6CC">
      <w:start w:val="1"/>
      <w:numFmt w:val="bullet"/>
      <w:lvlText w:val=""/>
      <w:lvlJc w:val="left"/>
      <w:pPr>
        <w:tabs>
          <w:tab w:val="num" w:pos="720"/>
        </w:tabs>
        <w:ind w:left="720" w:hanging="360"/>
      </w:pPr>
      <w:rPr>
        <w:rFonts w:ascii="Wingdings" w:hAnsi="Wingdings" w:hint="default"/>
      </w:rPr>
    </w:lvl>
    <w:lvl w:ilvl="1" w:tplc="8378013A">
      <w:numFmt w:val="bullet"/>
      <w:lvlText w:val=""/>
      <w:lvlJc w:val="left"/>
      <w:pPr>
        <w:tabs>
          <w:tab w:val="num" w:pos="1440"/>
        </w:tabs>
        <w:ind w:left="1440" w:hanging="360"/>
      </w:pPr>
      <w:rPr>
        <w:rFonts w:ascii="Wingdings" w:hAnsi="Wingdings" w:hint="default"/>
      </w:rPr>
    </w:lvl>
    <w:lvl w:ilvl="2" w:tplc="44F24484">
      <w:numFmt w:val="bullet"/>
      <w:lvlText w:val=""/>
      <w:lvlJc w:val="left"/>
      <w:pPr>
        <w:tabs>
          <w:tab w:val="num" w:pos="2160"/>
        </w:tabs>
        <w:ind w:left="2160" w:hanging="360"/>
      </w:pPr>
      <w:rPr>
        <w:rFonts w:ascii="Wingdings" w:hAnsi="Wingdings" w:hint="default"/>
      </w:rPr>
    </w:lvl>
    <w:lvl w:ilvl="3" w:tplc="F3E2AC8C">
      <w:numFmt w:val="bullet"/>
      <w:lvlText w:val=""/>
      <w:lvlJc w:val="left"/>
      <w:pPr>
        <w:tabs>
          <w:tab w:val="num" w:pos="2880"/>
        </w:tabs>
        <w:ind w:left="2880" w:hanging="360"/>
      </w:pPr>
      <w:rPr>
        <w:rFonts w:ascii="Wingdings" w:hAnsi="Wingdings" w:hint="default"/>
      </w:rPr>
    </w:lvl>
    <w:lvl w:ilvl="4" w:tplc="0B9E2DEC">
      <w:start w:val="1"/>
      <w:numFmt w:val="bullet"/>
      <w:lvlText w:val=""/>
      <w:lvlJc w:val="left"/>
      <w:pPr>
        <w:tabs>
          <w:tab w:val="num" w:pos="3600"/>
        </w:tabs>
        <w:ind w:left="3600" w:hanging="360"/>
      </w:pPr>
      <w:rPr>
        <w:rFonts w:ascii="Wingdings" w:hAnsi="Wingdings" w:hint="default"/>
      </w:rPr>
    </w:lvl>
    <w:lvl w:ilvl="5" w:tplc="3A14936C">
      <w:start w:val="1"/>
      <w:numFmt w:val="bullet"/>
      <w:lvlText w:val=""/>
      <w:lvlJc w:val="left"/>
      <w:pPr>
        <w:tabs>
          <w:tab w:val="num" w:pos="4320"/>
        </w:tabs>
        <w:ind w:left="4320" w:hanging="360"/>
      </w:pPr>
      <w:rPr>
        <w:rFonts w:ascii="Wingdings" w:hAnsi="Wingdings" w:hint="default"/>
      </w:rPr>
    </w:lvl>
    <w:lvl w:ilvl="6" w:tplc="17FEEBE6">
      <w:start w:val="1"/>
      <w:numFmt w:val="bullet"/>
      <w:lvlText w:val=""/>
      <w:lvlJc w:val="left"/>
      <w:pPr>
        <w:tabs>
          <w:tab w:val="num" w:pos="5040"/>
        </w:tabs>
        <w:ind w:left="5040" w:hanging="360"/>
      </w:pPr>
      <w:rPr>
        <w:rFonts w:ascii="Wingdings" w:hAnsi="Wingdings" w:hint="default"/>
      </w:rPr>
    </w:lvl>
    <w:lvl w:ilvl="7" w:tplc="64B4BC18">
      <w:start w:val="1"/>
      <w:numFmt w:val="bullet"/>
      <w:lvlText w:val=""/>
      <w:lvlJc w:val="left"/>
      <w:pPr>
        <w:tabs>
          <w:tab w:val="num" w:pos="5760"/>
        </w:tabs>
        <w:ind w:left="5760" w:hanging="360"/>
      </w:pPr>
      <w:rPr>
        <w:rFonts w:ascii="Wingdings" w:hAnsi="Wingdings" w:hint="default"/>
      </w:rPr>
    </w:lvl>
    <w:lvl w:ilvl="8" w:tplc="5DC27314">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1"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2"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4" w15:restartNumberingAfterBreak="0">
    <w:nsid w:val="60392EF4"/>
    <w:multiLevelType w:val="hybridMultilevel"/>
    <w:tmpl w:val="02BE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8"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9"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1"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2"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3"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7"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8" w15:restartNumberingAfterBreak="0">
    <w:nsid w:val="688F72D4"/>
    <w:multiLevelType w:val="multilevel"/>
    <w:tmpl w:val="510EDA3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9"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0"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3"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4"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5" w15:restartNumberingAfterBreak="0">
    <w:nsid w:val="6CFE19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7"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8"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16504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1"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2"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4"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6"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9"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3"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4"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6"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9"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0"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82"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3"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40"/>
  </w:num>
  <w:num w:numId="2">
    <w:abstractNumId w:val="76"/>
  </w:num>
  <w:num w:numId="3">
    <w:abstractNumId w:val="177"/>
  </w:num>
  <w:num w:numId="4">
    <w:abstractNumId w:val="24"/>
  </w:num>
  <w:num w:numId="5">
    <w:abstractNumId w:val="51"/>
  </w:num>
  <w:num w:numId="6">
    <w:abstractNumId w:val="79"/>
  </w:num>
  <w:num w:numId="7">
    <w:abstractNumId w:val="133"/>
  </w:num>
  <w:num w:numId="8">
    <w:abstractNumId w:val="97"/>
  </w:num>
  <w:num w:numId="9">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4"/>
  </w:num>
  <w:num w:numId="11">
    <w:abstractNumId w:val="172"/>
  </w:num>
  <w:num w:numId="12">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6"/>
  </w:num>
  <w:num w:numId="14">
    <w:abstractNumId w:val="8"/>
  </w:num>
  <w:num w:numId="15">
    <w:abstractNumId w:val="70"/>
  </w:num>
  <w:num w:numId="16">
    <w:abstractNumId w:val="53"/>
  </w:num>
  <w:num w:numId="17">
    <w:abstractNumId w:val="173"/>
  </w:num>
  <w:num w:numId="18">
    <w:abstractNumId w:val="91"/>
  </w:num>
  <w:num w:numId="19">
    <w:abstractNumId w:val="145"/>
  </w:num>
  <w:num w:numId="20">
    <w:abstractNumId w:val="137"/>
  </w:num>
  <w:num w:numId="21">
    <w:abstractNumId w:val="44"/>
  </w:num>
  <w:num w:numId="22">
    <w:abstractNumId w:val="62"/>
  </w:num>
  <w:num w:numId="23">
    <w:abstractNumId w:val="28"/>
  </w:num>
  <w:num w:numId="24">
    <w:abstractNumId w:val="121"/>
  </w:num>
  <w:num w:numId="25">
    <w:abstractNumId w:val="65"/>
  </w:num>
  <w:num w:numId="26">
    <w:abstractNumId w:val="20"/>
  </w:num>
  <w:num w:numId="27">
    <w:abstractNumId w:val="82"/>
  </w:num>
  <w:num w:numId="28">
    <w:abstractNumId w:val="149"/>
  </w:num>
  <w:num w:numId="29">
    <w:abstractNumId w:val="35"/>
  </w:num>
  <w:num w:numId="30">
    <w:abstractNumId w:val="100"/>
  </w:num>
  <w:num w:numId="31">
    <w:abstractNumId w:val="150"/>
  </w:num>
  <w:num w:numId="32">
    <w:abstractNumId w:val="36"/>
  </w:num>
  <w:num w:numId="33">
    <w:abstractNumId w:val="17"/>
  </w:num>
  <w:num w:numId="34">
    <w:abstractNumId w:val="183"/>
  </w:num>
  <w:num w:numId="35">
    <w:abstractNumId w:val="54"/>
  </w:num>
  <w:num w:numId="36">
    <w:abstractNumId w:val="179"/>
  </w:num>
  <w:num w:numId="37">
    <w:abstractNumId w:val="77"/>
  </w:num>
  <w:num w:numId="38">
    <w:abstractNumId w:val="151"/>
  </w:num>
  <w:num w:numId="39">
    <w:abstractNumId w:val="182"/>
  </w:num>
  <w:num w:numId="40">
    <w:abstractNumId w:val="12"/>
  </w:num>
  <w:num w:numId="41">
    <w:abstractNumId w:val="114"/>
  </w:num>
  <w:num w:numId="42">
    <w:abstractNumId w:val="170"/>
  </w:num>
  <w:num w:numId="43">
    <w:abstractNumId w:val="69"/>
  </w:num>
  <w:num w:numId="44">
    <w:abstractNumId w:val="154"/>
  </w:num>
  <w:num w:numId="45">
    <w:abstractNumId w:val="153"/>
  </w:num>
  <w:num w:numId="46">
    <w:abstractNumId w:val="143"/>
  </w:num>
  <w:num w:numId="47">
    <w:abstractNumId w:val="83"/>
  </w:num>
  <w:num w:numId="48">
    <w:abstractNumId w:val="120"/>
  </w:num>
  <w:num w:numId="49">
    <w:abstractNumId w:val="30"/>
  </w:num>
  <w:num w:numId="50">
    <w:abstractNumId w:val="180"/>
  </w:num>
  <w:num w:numId="51">
    <w:abstractNumId w:val="107"/>
  </w:num>
  <w:num w:numId="52">
    <w:abstractNumId w:val="104"/>
  </w:num>
  <w:num w:numId="53">
    <w:abstractNumId w:val="171"/>
  </w:num>
  <w:num w:numId="54">
    <w:abstractNumId w:val="110"/>
  </w:num>
  <w:num w:numId="55">
    <w:abstractNumId w:val="63"/>
  </w:num>
  <w:num w:numId="56">
    <w:abstractNumId w:val="159"/>
  </w:num>
  <w:num w:numId="57">
    <w:abstractNumId w:val="72"/>
  </w:num>
  <w:num w:numId="58">
    <w:abstractNumId w:val="156"/>
  </w:num>
  <w:num w:numId="59">
    <w:abstractNumId w:val="132"/>
  </w:num>
  <w:num w:numId="60">
    <w:abstractNumId w:val="162"/>
  </w:num>
  <w:num w:numId="61">
    <w:abstractNumId w:val="22"/>
  </w:num>
  <w:num w:numId="62">
    <w:abstractNumId w:val="78"/>
  </w:num>
  <w:num w:numId="63">
    <w:abstractNumId w:val="33"/>
  </w:num>
  <w:num w:numId="64">
    <w:abstractNumId w:val="42"/>
  </w:num>
  <w:num w:numId="65">
    <w:abstractNumId w:val="48"/>
  </w:num>
  <w:num w:numId="66">
    <w:abstractNumId w:val="165"/>
  </w:num>
  <w:num w:numId="67">
    <w:abstractNumId w:val="116"/>
  </w:num>
  <w:num w:numId="68">
    <w:abstractNumId w:val="39"/>
  </w:num>
  <w:num w:numId="69">
    <w:abstractNumId w:val="74"/>
  </w:num>
  <w:num w:numId="70">
    <w:abstractNumId w:val="147"/>
  </w:num>
  <w:num w:numId="71">
    <w:abstractNumId w:val="163"/>
  </w:num>
  <w:num w:numId="72">
    <w:abstractNumId w:val="68"/>
  </w:num>
  <w:num w:numId="73">
    <w:abstractNumId w:val="11"/>
  </w:num>
  <w:num w:numId="74">
    <w:abstractNumId w:val="141"/>
  </w:num>
  <w:num w:numId="75">
    <w:abstractNumId w:val="88"/>
  </w:num>
  <w:num w:numId="76">
    <w:abstractNumId w:val="32"/>
  </w:num>
  <w:num w:numId="77">
    <w:abstractNumId w:val="2"/>
  </w:num>
  <w:num w:numId="78">
    <w:abstractNumId w:val="131"/>
  </w:num>
  <w:num w:numId="79">
    <w:abstractNumId w:val="27"/>
  </w:num>
  <w:num w:numId="80">
    <w:abstractNumId w:val="99"/>
  </w:num>
  <w:num w:numId="81">
    <w:abstractNumId w:val="176"/>
  </w:num>
  <w:num w:numId="82">
    <w:abstractNumId w:val="0"/>
  </w:num>
  <w:num w:numId="83">
    <w:abstractNumId w:val="41"/>
  </w:num>
  <w:num w:numId="84">
    <w:abstractNumId w:val="101"/>
  </w:num>
  <w:num w:numId="85">
    <w:abstractNumId w:val="85"/>
  </w:num>
  <w:num w:numId="86">
    <w:abstractNumId w:val="37"/>
  </w:num>
  <w:num w:numId="87">
    <w:abstractNumId w:val="130"/>
  </w:num>
  <w:num w:numId="88">
    <w:abstractNumId w:val="178"/>
  </w:num>
  <w:num w:numId="89">
    <w:abstractNumId w:val="58"/>
  </w:num>
  <w:num w:numId="90">
    <w:abstractNumId w:val="16"/>
  </w:num>
  <w:num w:numId="91">
    <w:abstractNumId w:val="102"/>
  </w:num>
  <w:num w:numId="92">
    <w:abstractNumId w:val="81"/>
  </w:num>
  <w:num w:numId="93">
    <w:abstractNumId w:val="13"/>
  </w:num>
  <w:num w:numId="94">
    <w:abstractNumId w:val="95"/>
  </w:num>
  <w:num w:numId="95">
    <w:abstractNumId w:val="47"/>
  </w:num>
  <w:num w:numId="96">
    <w:abstractNumId w:val="124"/>
  </w:num>
  <w:num w:numId="97">
    <w:abstractNumId w:val="158"/>
  </w:num>
  <w:num w:numId="98">
    <w:abstractNumId w:val="45"/>
  </w:num>
  <w:num w:numId="99">
    <w:abstractNumId w:val="21"/>
  </w:num>
  <w:num w:numId="100">
    <w:abstractNumId w:val="38"/>
  </w:num>
  <w:num w:numId="101">
    <w:abstractNumId w:val="15"/>
  </w:num>
  <w:num w:numId="102">
    <w:abstractNumId w:val="19"/>
  </w:num>
  <w:num w:numId="103">
    <w:abstractNumId w:val="125"/>
  </w:num>
  <w:num w:numId="104">
    <w:abstractNumId w:val="119"/>
  </w:num>
  <w:num w:numId="105">
    <w:abstractNumId w:val="60"/>
  </w:num>
  <w:num w:numId="106">
    <w:abstractNumId w:val="113"/>
  </w:num>
  <w:num w:numId="107">
    <w:abstractNumId w:val="34"/>
  </w:num>
  <w:num w:numId="108">
    <w:abstractNumId w:val="31"/>
  </w:num>
  <w:num w:numId="109">
    <w:abstractNumId w:val="66"/>
  </w:num>
  <w:num w:numId="110">
    <w:abstractNumId w:val="103"/>
  </w:num>
  <w:num w:numId="111">
    <w:abstractNumId w:val="167"/>
  </w:num>
  <w:num w:numId="112">
    <w:abstractNumId w:val="90"/>
  </w:num>
  <w:num w:numId="113">
    <w:abstractNumId w:val="40"/>
  </w:num>
  <w:num w:numId="114">
    <w:abstractNumId w:val="25"/>
  </w:num>
  <w:num w:numId="115">
    <w:abstractNumId w:val="136"/>
  </w:num>
  <w:num w:numId="116">
    <w:abstractNumId w:val="98"/>
  </w:num>
  <w:num w:numId="117">
    <w:abstractNumId w:val="5"/>
  </w:num>
  <w:num w:numId="118">
    <w:abstractNumId w:val="157"/>
  </w:num>
  <w:num w:numId="119">
    <w:abstractNumId w:val="138"/>
  </w:num>
  <w:num w:numId="120">
    <w:abstractNumId w:val="49"/>
  </w:num>
  <w:num w:numId="121">
    <w:abstractNumId w:val="93"/>
  </w:num>
  <w:num w:numId="122">
    <w:abstractNumId w:val="67"/>
  </w:num>
  <w:num w:numId="123">
    <w:abstractNumId w:val="7"/>
  </w:num>
  <w:num w:numId="124">
    <w:abstractNumId w:val="111"/>
  </w:num>
  <w:num w:numId="125">
    <w:abstractNumId w:val="26"/>
  </w:num>
  <w:num w:numId="126">
    <w:abstractNumId w:val="6"/>
  </w:num>
  <w:num w:numId="127">
    <w:abstractNumId w:val="94"/>
  </w:num>
  <w:num w:numId="128">
    <w:abstractNumId w:val="23"/>
  </w:num>
  <w:num w:numId="129">
    <w:abstractNumId w:val="152"/>
  </w:num>
  <w:num w:numId="130">
    <w:abstractNumId w:val="57"/>
  </w:num>
  <w:num w:numId="131">
    <w:abstractNumId w:val="18"/>
  </w:num>
  <w:num w:numId="132">
    <w:abstractNumId w:val="9"/>
  </w:num>
  <w:num w:numId="133">
    <w:abstractNumId w:val="144"/>
  </w:num>
  <w:num w:numId="134">
    <w:abstractNumId w:val="168"/>
  </w:num>
  <w:num w:numId="135">
    <w:abstractNumId w:val="73"/>
  </w:num>
  <w:num w:numId="136">
    <w:abstractNumId w:val="64"/>
  </w:num>
  <w:num w:numId="137">
    <w:abstractNumId w:val="135"/>
  </w:num>
  <w:num w:numId="138">
    <w:abstractNumId w:val="61"/>
  </w:num>
  <w:num w:numId="139">
    <w:abstractNumId w:val="115"/>
  </w:num>
  <w:num w:numId="140">
    <w:abstractNumId w:val="71"/>
  </w:num>
  <w:num w:numId="141">
    <w:abstractNumId w:val="87"/>
  </w:num>
  <w:num w:numId="142">
    <w:abstractNumId w:val="59"/>
  </w:num>
  <w:num w:numId="143">
    <w:abstractNumId w:val="175"/>
  </w:num>
  <w:num w:numId="144">
    <w:abstractNumId w:val="55"/>
  </w:num>
  <w:num w:numId="145">
    <w:abstractNumId w:val="169"/>
  </w:num>
  <w:num w:numId="146">
    <w:abstractNumId w:val="164"/>
  </w:num>
  <w:num w:numId="147">
    <w:abstractNumId w:val="108"/>
  </w:num>
  <w:num w:numId="148">
    <w:abstractNumId w:val="112"/>
  </w:num>
  <w:num w:numId="149">
    <w:abstractNumId w:val="123"/>
  </w:num>
  <w:num w:numId="150">
    <w:abstractNumId w:val="105"/>
  </w:num>
  <w:num w:numId="151">
    <w:abstractNumId w:val="96"/>
  </w:num>
  <w:num w:numId="152">
    <w:abstractNumId w:val="80"/>
  </w:num>
  <w:num w:numId="153">
    <w:abstractNumId w:val="139"/>
  </w:num>
  <w:num w:numId="154">
    <w:abstractNumId w:val="52"/>
  </w:num>
  <w:num w:numId="155">
    <w:abstractNumId w:val="10"/>
  </w:num>
  <w:num w:numId="156">
    <w:abstractNumId w:val="146"/>
  </w:num>
  <w:num w:numId="157">
    <w:abstractNumId w:val="118"/>
  </w:num>
  <w:num w:numId="158">
    <w:abstractNumId w:val="3"/>
  </w:num>
  <w:num w:numId="159">
    <w:abstractNumId w:val="84"/>
  </w:num>
  <w:num w:numId="160">
    <w:abstractNumId w:val="128"/>
  </w:num>
  <w:num w:numId="161">
    <w:abstractNumId w:val="43"/>
  </w:num>
  <w:num w:numId="162">
    <w:abstractNumId w:val="4"/>
  </w:num>
  <w:num w:numId="163">
    <w:abstractNumId w:val="181"/>
  </w:num>
  <w:num w:numId="164">
    <w:abstractNumId w:val="160"/>
  </w:num>
  <w:num w:numId="165">
    <w:abstractNumId w:val="129"/>
  </w:num>
  <w:num w:numId="166">
    <w:abstractNumId w:val="89"/>
  </w:num>
  <w:num w:numId="167">
    <w:abstractNumId w:val="142"/>
  </w:num>
  <w:num w:numId="168">
    <w:abstractNumId w:val="46"/>
  </w:num>
  <w:num w:numId="169">
    <w:abstractNumId w:val="106"/>
  </w:num>
  <w:num w:numId="170">
    <w:abstractNumId w:val="127"/>
  </w:num>
  <w:num w:numId="171">
    <w:abstractNumId w:val="50"/>
  </w:num>
  <w:num w:numId="172">
    <w:abstractNumId w:val="86"/>
  </w:num>
  <w:num w:numId="173">
    <w:abstractNumId w:val="14"/>
  </w:num>
  <w:num w:numId="174">
    <w:abstractNumId w:val="1"/>
  </w:num>
  <w:num w:numId="175">
    <w:abstractNumId w:val="75"/>
  </w:num>
  <w:num w:numId="176">
    <w:abstractNumId w:val="117"/>
  </w:num>
  <w:num w:numId="177">
    <w:abstractNumId w:val="155"/>
  </w:num>
  <w:num w:numId="178">
    <w:abstractNumId w:val="56"/>
  </w:num>
  <w:num w:numId="179">
    <w:abstractNumId w:val="148"/>
  </w:num>
  <w:num w:numId="180">
    <w:abstractNumId w:val="122"/>
  </w:num>
  <w:num w:numId="181">
    <w:abstractNumId w:val="109"/>
  </w:num>
  <w:num w:numId="182">
    <w:abstractNumId w:val="92"/>
  </w:num>
  <w:num w:numId="183">
    <w:abstractNumId w:val="29"/>
  </w:num>
  <w:num w:numId="184">
    <w:abstractNumId w:val="134"/>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457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5B4"/>
    <w:rsid w:val="000247B8"/>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49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8AF"/>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28"/>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52C"/>
    <w:rsid w:val="000E58B4"/>
    <w:rsid w:val="000E598D"/>
    <w:rsid w:val="000E5AA1"/>
    <w:rsid w:val="000E61DA"/>
    <w:rsid w:val="000E620A"/>
    <w:rsid w:val="000E63F6"/>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8C9"/>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AD5"/>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3BC"/>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91D"/>
    <w:rsid w:val="00191B34"/>
    <w:rsid w:val="00191E78"/>
    <w:rsid w:val="00191EFF"/>
    <w:rsid w:val="00192087"/>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0B"/>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790"/>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47E44"/>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95D"/>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74C"/>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9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D4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E1"/>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259"/>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308"/>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1D4"/>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B5C"/>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C7EF2"/>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1F48"/>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D50"/>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578C3"/>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204"/>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7F4"/>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1B"/>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35"/>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36"/>
    <w:rsid w:val="005A7CB6"/>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3FCB"/>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887"/>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9F"/>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BC"/>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E1B"/>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28"/>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0FA"/>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421"/>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57B"/>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70"/>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864"/>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897"/>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F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907"/>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C08"/>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496"/>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CDF"/>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3C7"/>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AAE"/>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AD4"/>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E50"/>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3A4"/>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3A3"/>
    <w:rsid w:val="00AA3420"/>
    <w:rsid w:val="00AA3D8E"/>
    <w:rsid w:val="00AA4089"/>
    <w:rsid w:val="00AA4521"/>
    <w:rsid w:val="00AA459B"/>
    <w:rsid w:val="00AA45B3"/>
    <w:rsid w:val="00AA49D7"/>
    <w:rsid w:val="00AA4C63"/>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39"/>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4B"/>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6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B1D"/>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0E3"/>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941"/>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4E73"/>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416"/>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AFD"/>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CF"/>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6A"/>
    <w:rsid w:val="00C860F2"/>
    <w:rsid w:val="00C862EA"/>
    <w:rsid w:val="00C863C1"/>
    <w:rsid w:val="00C8640C"/>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B0F"/>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698"/>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925"/>
    <w:rsid w:val="00CD4FD4"/>
    <w:rsid w:val="00CD5261"/>
    <w:rsid w:val="00CD53FE"/>
    <w:rsid w:val="00CD55D0"/>
    <w:rsid w:val="00CD591A"/>
    <w:rsid w:val="00CD5983"/>
    <w:rsid w:val="00CD59FE"/>
    <w:rsid w:val="00CD60A9"/>
    <w:rsid w:val="00CD63C9"/>
    <w:rsid w:val="00CD651A"/>
    <w:rsid w:val="00CD6D1E"/>
    <w:rsid w:val="00CD6EAE"/>
    <w:rsid w:val="00CD7646"/>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A0"/>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DD"/>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9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5AA"/>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A40"/>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B1"/>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D48"/>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BB4"/>
    <w:rsid w:val="00E45D5B"/>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96C"/>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6FA"/>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215"/>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9A4"/>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82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05"/>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E7F73"/>
    <w:rsid w:val="00EF013A"/>
    <w:rsid w:val="00EF0449"/>
    <w:rsid w:val="00EF072B"/>
    <w:rsid w:val="00EF0E1B"/>
    <w:rsid w:val="00EF0E90"/>
    <w:rsid w:val="00EF0F4A"/>
    <w:rsid w:val="00EF0F5A"/>
    <w:rsid w:val="00EF1009"/>
    <w:rsid w:val="00EF1498"/>
    <w:rsid w:val="00EF1572"/>
    <w:rsid w:val="00EF18DE"/>
    <w:rsid w:val="00EF1C60"/>
    <w:rsid w:val="00EF1E71"/>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86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5B0"/>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39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3D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8D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712"/>
    <w:rsid w:val="00FC5FEA"/>
    <w:rsid w:val="00FC601B"/>
    <w:rsid w:val="00FC601D"/>
    <w:rsid w:val="00FC6222"/>
    <w:rsid w:val="00FC62CD"/>
    <w:rsid w:val="00FC6D0F"/>
    <w:rsid w:val="00FC70D5"/>
    <w:rsid w:val="00FC7139"/>
    <w:rsid w:val="00FC728C"/>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9FC"/>
    <w:rsid w:val="00FE4AC6"/>
    <w:rsid w:val="00FE4DE0"/>
    <w:rsid w:val="00FE546A"/>
    <w:rsid w:val="00FE57F3"/>
    <w:rsid w:val="00FE5A6C"/>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4C8"/>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4"/>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4897789">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5895439">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860273">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9035230">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641991">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693536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605391">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1681308">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HR33RHYHUWRF-4-18045</_dlc_DocId>
    <_dlc_DocIdUrl xmlns="c06861ca-3f08-4d07-bff7-bb15bac121f4">
      <Url>https://projects.qualcomm.com/sites/pentari/_layouts/15/DocIdRedir.aspx?ID=HR33RHYHUWRF-4-18045</Url>
      <Description>HR33RHYHUWRF-4-18045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0735CC4-27E3-462B-B149-4CDC30CFD73F}">
  <ds:schemaRefs>
    <ds:schemaRef ds:uri="http://schemas.openxmlformats.org/officeDocument/2006/bibliography"/>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CF06B197-5C71-49B8-803A-DA3432DF1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DBC14D-0876-4756-A0E3-A5357AC0727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492</Words>
  <Characters>2487</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AlexM - Qualcomm</cp:lastModifiedBy>
  <cp:revision>12</cp:revision>
  <cp:lastPrinted>2017-08-09T04:40:00Z</cp:lastPrinted>
  <dcterms:created xsi:type="dcterms:W3CDTF">2021-01-19T02:37:00Z</dcterms:created>
  <dcterms:modified xsi:type="dcterms:W3CDTF">2021-04-06T23:58:00Z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0x010100BC29BFD66497B943AA3B102F0C7B1355</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5a13dc68-48b1-41c7-9109-ca62909705d9</vt:lpwstr>
  </property>
</Properties>
</file>